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E1EF" w14:textId="77777777" w:rsidR="002B5638" w:rsidRDefault="002B5638">
      <w:pPr>
        <w:pStyle w:val="Title"/>
        <w:rPr>
          <w:sz w:val="44"/>
          <w:szCs w:val="44"/>
        </w:rPr>
      </w:pPr>
    </w:p>
    <w:p w14:paraId="707708CA" w14:textId="77777777" w:rsidR="00236FE7" w:rsidRDefault="00236FE7">
      <w:pPr>
        <w:pStyle w:val="Title"/>
        <w:rPr>
          <w:color w:val="002060"/>
          <w:sz w:val="40"/>
          <w:szCs w:val="40"/>
          <w:u w:val="single"/>
        </w:rPr>
      </w:pPr>
    </w:p>
    <w:p w14:paraId="4D5CD4FF" w14:textId="7AEAAF85" w:rsidR="006A45C1" w:rsidRDefault="006A45C1">
      <w:pPr>
        <w:pStyle w:val="Title"/>
        <w:rPr>
          <w:u w:val="single"/>
        </w:rPr>
      </w:pPr>
      <w:r>
        <w:rPr>
          <w:color w:val="002060"/>
          <w:sz w:val="40"/>
          <w:szCs w:val="40"/>
          <w:u w:val="single"/>
        </w:rPr>
        <w:t>Voluntary Contribution for Nursery Fees for Funded Hours</w:t>
      </w:r>
    </w:p>
    <w:p w14:paraId="71560E8C" w14:textId="77777777" w:rsidR="00236FE7" w:rsidRPr="00236FE7" w:rsidRDefault="00236FE7" w:rsidP="00236FE7"/>
    <w:p w14:paraId="7D640EED" w14:textId="43F39B47" w:rsidR="006A45C1" w:rsidRDefault="006A45C1">
      <w:r>
        <w:t xml:space="preserve">We are committed to providing nurturing and stimulating environments for all children attending our nursery. </w:t>
      </w:r>
      <w:r w:rsidR="00DB1ECE">
        <w:t>To</w:t>
      </w:r>
      <w:r>
        <w:t xml:space="preserve"> continue delivering high-quality resources and enriching experiences, we invite parents to consider making a voluntary contribution towards nursery fees</w:t>
      </w:r>
      <w:r w:rsidR="00DB1ECE">
        <w:t xml:space="preserve"> during funded only sessions</w:t>
      </w:r>
      <w:r>
        <w:t>. Please note, this contribution is entirely optional, and every child will receive the same level of care and opportunities, irrespective of whether a contribution is made.</w:t>
      </w:r>
    </w:p>
    <w:p w14:paraId="029DA791" w14:textId="77777777" w:rsidR="006A45C1" w:rsidRDefault="006A45C1">
      <w:pPr>
        <w:pStyle w:val="Heading1"/>
        <w:rPr>
          <w:rFonts w:eastAsia="Times New Roman"/>
        </w:rPr>
      </w:pPr>
      <w:r>
        <w:rPr>
          <w:rFonts w:eastAsia="Times New Roman"/>
          <w:b/>
          <w:bCs/>
          <w:sz w:val="28"/>
          <w:szCs w:val="28"/>
        </w:rPr>
        <w:t>Why Your Support Matters</w:t>
      </w:r>
      <w:r>
        <w:rPr>
          <w:rFonts w:eastAsia="Times New Roman"/>
          <w:b/>
          <w:bCs/>
        </w:rPr>
        <w:t xml:space="preserve"> </w:t>
      </w:r>
    </w:p>
    <w:p w14:paraId="753216C0" w14:textId="77777777" w:rsidR="006A45C1" w:rsidRDefault="006A45C1">
      <w:r>
        <w:t>Donations enable us to enhance our learning materials, organise special activities, and maintain our facilities at a high standard. Through your contributions, we can provide all children with outstanding educational resources and memorable experiences during their time with us.</w:t>
      </w:r>
    </w:p>
    <w:p w14:paraId="1D9FC2FC" w14:textId="77777777" w:rsidR="006A45C1" w:rsidRDefault="006A45C1">
      <w:r>
        <w:rPr>
          <w:b/>
          <w:bCs/>
          <w:color w:val="002060"/>
          <w:sz w:val="28"/>
          <w:szCs w:val="28"/>
        </w:rPr>
        <w:t>Nursery Education Funding (NEF)</w:t>
      </w:r>
      <w:r>
        <w:rPr>
          <w:b/>
          <w:bCs/>
        </w:rPr>
        <w:t xml:space="preserve"> </w:t>
      </w:r>
    </w:p>
    <w:p w14:paraId="1507F213" w14:textId="77777777" w:rsidR="006A45C1" w:rsidRDefault="006A45C1">
      <w:r>
        <w:t>As a nursery setting, we are required to comply with the Early Years Foundation Stage (EYFS) requirements, which set out the essential standards for early years settings.</w:t>
      </w:r>
    </w:p>
    <w:p w14:paraId="6CDE830A" w14:textId="77777777" w:rsidR="006A45C1" w:rsidRDefault="006A45C1">
      <w:r>
        <w:t>The EYFS establishes the minimum requirements for early years care and education. However, at Smart Steps, we go above and beyond these requirements to ensure children benefit from a rich and high-quality early years’ experience.</w:t>
      </w:r>
    </w:p>
    <w:p w14:paraId="2F56030E" w14:textId="77777777" w:rsidR="006A45C1" w:rsidRDefault="006A45C1">
      <w:r>
        <w:t>The nursery education funding is designed to cover the cost of funded hours only; it does not account for all the overheads involved in running our nursery. With the introduction of the new 30-hour funding, we now rely on receiving 96% of funding, which still does not meet all our costs.</w:t>
      </w:r>
    </w:p>
    <w:p w14:paraId="11C003A2" w14:textId="77777777" w:rsidR="006A45C1" w:rsidRDefault="006A45C1">
      <w:r>
        <w:t>Without the support of additional voluntary contributions, it would not be possible for us to provide the enhanced services and experiences we currently offer.</w:t>
      </w:r>
    </w:p>
    <w:p w14:paraId="0E5825A3" w14:textId="77777777" w:rsidR="006A45C1" w:rsidRDefault="006A45C1">
      <w:r>
        <w:t>The following provisions are not required under the EYFS framework, but we believe they significantly enrich the quality of care and education. We would very much like to continue offering these enhancements.</w:t>
      </w:r>
    </w:p>
    <w:p w14:paraId="779C0FA0" w14:textId="77777777" w:rsidR="00236FE7" w:rsidRDefault="00236FE7"/>
    <w:p w14:paraId="4345439C" w14:textId="77777777" w:rsidR="00236FE7" w:rsidRDefault="00236FE7"/>
    <w:p w14:paraId="47B2CC4A" w14:textId="77777777" w:rsidR="00236FE7" w:rsidRDefault="00236FE7"/>
    <w:p w14:paraId="0059484E" w14:textId="77777777" w:rsidR="00236FE7" w:rsidRDefault="00236FE7"/>
    <w:p w14:paraId="7AF590FB" w14:textId="77777777" w:rsidR="00236FE7" w:rsidRDefault="00236FE7"/>
    <w:tbl>
      <w:tblPr>
        <w:tblW w:w="0" w:type="auto"/>
        <w:tblCellMar>
          <w:top w:w="15" w:type="dxa"/>
          <w:left w:w="15" w:type="dxa"/>
          <w:bottom w:w="15" w:type="dxa"/>
          <w:right w:w="15" w:type="dxa"/>
        </w:tblCellMar>
        <w:tblLook w:val="04A0" w:firstRow="1" w:lastRow="0" w:firstColumn="1" w:lastColumn="0" w:noHBand="0" w:noVBand="1"/>
      </w:tblPr>
      <w:tblGrid>
        <w:gridCol w:w="9006"/>
      </w:tblGrid>
      <w:tr w:rsidR="006A45C1" w14:paraId="21741931" w14:textId="77777777">
        <w:tc>
          <w:tcPr>
            <w:tcW w:w="9021" w:type="dxa"/>
            <w:tcBorders>
              <w:top w:val="single" w:sz="8" w:space="0" w:color="auto"/>
              <w:left w:val="single" w:sz="8" w:space="0" w:color="auto"/>
              <w:bottom w:val="single" w:sz="8" w:space="0" w:color="auto"/>
              <w:right w:val="single" w:sz="8" w:space="0" w:color="auto"/>
            </w:tcBorders>
            <w:vAlign w:val="center"/>
            <w:hideMark/>
          </w:tcPr>
          <w:p w14:paraId="66A89223" w14:textId="71D1EF27" w:rsidR="006A45C1" w:rsidRDefault="00236FE7">
            <w:pPr>
              <w:pStyle w:val="ListParagraph"/>
              <w:spacing w:line="240" w:lineRule="auto"/>
            </w:pPr>
            <w:r>
              <w:rPr>
                <w:b/>
                <w:bCs/>
              </w:rPr>
              <w:t xml:space="preserve">                                                      </w:t>
            </w:r>
            <w:r w:rsidR="006A45C1">
              <w:rPr>
                <w:b/>
                <w:bCs/>
              </w:rPr>
              <w:t>Outdoor Provision</w:t>
            </w:r>
            <w:r w:rsidR="006A45C1">
              <w:t xml:space="preserve"> </w:t>
            </w:r>
          </w:p>
          <w:p w14:paraId="6BFB4432" w14:textId="77777777" w:rsidR="006A45C1" w:rsidRDefault="006A45C1">
            <w:pPr>
              <w:pStyle w:val="ListParagraph"/>
              <w:spacing w:line="240" w:lineRule="auto"/>
            </w:pPr>
            <w:r>
              <w:rPr>
                <w:sz w:val="20"/>
                <w:szCs w:val="20"/>
              </w:rPr>
              <w:t>We provide a range of outdoor activities and resources, including a mud kitchen and messy play, as well as materials to enhance these experiences throughout the year. Our outdoor learning and nature experiences are supported by resources such as bird boxes, bird food, natural materials, and outdoor play equipment like climbing frames for risky play. We also offer bug hotels and mini beast exploration kits, outdoor craft experiences, and opportunities for children to grow flowers, fruit, and vegetables.</w:t>
            </w:r>
            <w:r>
              <w:t xml:space="preserve"> </w:t>
            </w:r>
          </w:p>
        </w:tc>
      </w:tr>
    </w:tbl>
    <w:p w14:paraId="7DF73D58" w14:textId="77777777" w:rsidR="006A45C1" w:rsidRDefault="006A45C1">
      <w:pPr>
        <w:spacing w:after="0"/>
        <w:rPr>
          <w:rFonts w:ascii="Times New Roman" w:eastAsia="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6A45C1" w14:paraId="4B6CA367" w14:textId="77777777">
        <w:tc>
          <w:tcPr>
            <w:tcW w:w="9016" w:type="dxa"/>
            <w:tcBorders>
              <w:top w:val="single" w:sz="8" w:space="0" w:color="auto"/>
              <w:left w:val="single" w:sz="8" w:space="0" w:color="auto"/>
              <w:bottom w:val="single" w:sz="8" w:space="0" w:color="auto"/>
              <w:right w:val="single" w:sz="8" w:space="0" w:color="auto"/>
            </w:tcBorders>
            <w:vAlign w:val="center"/>
            <w:hideMark/>
          </w:tcPr>
          <w:p w14:paraId="63EFBABE" w14:textId="77777777" w:rsidR="00236FE7" w:rsidRDefault="00236FE7">
            <w:pPr>
              <w:spacing w:line="240" w:lineRule="auto"/>
            </w:pPr>
            <w:r>
              <w:rPr>
                <w:b/>
                <w:bCs/>
              </w:rPr>
              <w:t xml:space="preserve">                                           </w:t>
            </w:r>
            <w:r w:rsidR="006A45C1">
              <w:rPr>
                <w:b/>
                <w:bCs/>
              </w:rPr>
              <w:t>Enriched Learning Through Local Outings</w:t>
            </w:r>
            <w:r w:rsidR="006A45C1">
              <w:t xml:space="preserve"> </w:t>
            </w:r>
          </w:p>
          <w:p w14:paraId="4A62CD59" w14:textId="6514A44B" w:rsidR="006A45C1" w:rsidRPr="00236FE7" w:rsidRDefault="006A45C1">
            <w:pPr>
              <w:spacing w:line="240" w:lineRule="auto"/>
              <w:rPr>
                <w:rFonts w:ascii="Aptos" w:hAnsi="Aptos"/>
              </w:rPr>
            </w:pPr>
            <w:r>
              <w:rPr>
                <w:sz w:val="20"/>
                <w:szCs w:val="20"/>
              </w:rPr>
              <w:t>We maintain a higher staff-to-child ratio, which allows us to extend learning experiences through local outings and activities in the community.</w:t>
            </w:r>
            <w:r>
              <w:t xml:space="preserve"> </w:t>
            </w:r>
          </w:p>
        </w:tc>
      </w:tr>
    </w:tbl>
    <w:p w14:paraId="21C5789E" w14:textId="77777777" w:rsidR="006A45C1" w:rsidRDefault="006A45C1">
      <w:pPr>
        <w:spacing w:after="0"/>
        <w:rPr>
          <w:rFonts w:ascii="Times New Roman" w:eastAsia="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6A45C1" w14:paraId="493A5835" w14:textId="77777777">
        <w:tc>
          <w:tcPr>
            <w:tcW w:w="9016" w:type="dxa"/>
            <w:tcBorders>
              <w:top w:val="single" w:sz="8" w:space="0" w:color="auto"/>
              <w:left w:val="single" w:sz="8" w:space="0" w:color="auto"/>
              <w:bottom w:val="single" w:sz="8" w:space="0" w:color="auto"/>
              <w:right w:val="single" w:sz="8" w:space="0" w:color="auto"/>
            </w:tcBorders>
            <w:vAlign w:val="center"/>
            <w:hideMark/>
          </w:tcPr>
          <w:p w14:paraId="2FB102D7" w14:textId="26C3F7A7" w:rsidR="006A45C1" w:rsidRDefault="00236FE7">
            <w:pPr>
              <w:spacing w:line="240" w:lineRule="auto"/>
              <w:rPr>
                <w:rFonts w:ascii="Aptos" w:hAnsi="Aptos"/>
              </w:rPr>
            </w:pPr>
            <w:r>
              <w:rPr>
                <w:b/>
                <w:bCs/>
              </w:rPr>
              <w:t xml:space="preserve">                                                        </w:t>
            </w:r>
            <w:r w:rsidR="006A45C1">
              <w:rPr>
                <w:b/>
                <w:bCs/>
              </w:rPr>
              <w:t>Creative, Messy &amp; Sensory Play</w:t>
            </w:r>
            <w:r w:rsidR="006A45C1">
              <w:t xml:space="preserve"> </w:t>
            </w:r>
          </w:p>
          <w:p w14:paraId="34C6C9D9" w14:textId="77777777" w:rsidR="006A45C1" w:rsidRDefault="006A45C1">
            <w:pPr>
              <w:spacing w:line="240" w:lineRule="auto"/>
            </w:pPr>
            <w:r>
              <w:rPr>
                <w:sz w:val="20"/>
                <w:szCs w:val="20"/>
              </w:rPr>
              <w:t>Our creative and sensory experiences include sensory play trays, allergy-friendly messy play, baking and cooking experiences, loose parts play, and wooden open-ended resources. We also offer light tables, glow-in-the-dark sensory activities, wall projections, and life cycle experiences such as observing butterflies and hatching chicks. Themed craft activities are provided throughout the year, including for Mother’s Day, Father’s Day, grandparents’ day, and Christmas.</w:t>
            </w:r>
            <w:r>
              <w:t xml:space="preserve"> </w:t>
            </w:r>
          </w:p>
        </w:tc>
      </w:tr>
    </w:tbl>
    <w:p w14:paraId="5E56C2F1" w14:textId="77777777" w:rsidR="006A45C1" w:rsidRDefault="006A45C1">
      <w:pPr>
        <w:spacing w:after="0"/>
        <w:rPr>
          <w:rFonts w:ascii="Times New Roman" w:eastAsia="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6A45C1" w14:paraId="5C792AA9" w14:textId="77777777">
        <w:tc>
          <w:tcPr>
            <w:tcW w:w="9016" w:type="dxa"/>
            <w:tcBorders>
              <w:top w:val="single" w:sz="8" w:space="0" w:color="auto"/>
              <w:left w:val="single" w:sz="8" w:space="0" w:color="auto"/>
              <w:bottom w:val="single" w:sz="8" w:space="0" w:color="auto"/>
              <w:right w:val="single" w:sz="8" w:space="0" w:color="auto"/>
            </w:tcBorders>
            <w:vAlign w:val="center"/>
            <w:hideMark/>
          </w:tcPr>
          <w:p w14:paraId="418181A6" w14:textId="77777777" w:rsidR="006A45C1" w:rsidRDefault="006A45C1">
            <w:pPr>
              <w:spacing w:line="240" w:lineRule="auto"/>
              <w:rPr>
                <w:rFonts w:ascii="Aptos" w:hAnsi="Aptos"/>
              </w:rPr>
            </w:pPr>
            <w:r>
              <w:rPr>
                <w:b/>
                <w:bCs/>
              </w:rPr>
              <w:t>Additional Mealtime &amp; Nutrition Support</w:t>
            </w:r>
            <w:r>
              <w:t xml:space="preserve"> </w:t>
            </w:r>
          </w:p>
          <w:p w14:paraId="20579EF0" w14:textId="77777777" w:rsidR="006A45C1" w:rsidRDefault="006A45C1">
            <w:pPr>
              <w:spacing w:line="240" w:lineRule="auto"/>
            </w:pPr>
            <w:r>
              <w:rPr>
                <w:sz w:val="20"/>
                <w:szCs w:val="20"/>
              </w:rPr>
              <w:t>Our kitchen staff prepare all meals fresh on site, ensuring that children receive healthy snacks every day, a two-course cooled lunch, as well as breakfast and afternoon meals. We cater for special dietary requirements and take care to shop for fresh food regularly.</w:t>
            </w:r>
            <w:r>
              <w:t xml:space="preserve"> </w:t>
            </w:r>
          </w:p>
        </w:tc>
      </w:tr>
    </w:tbl>
    <w:p w14:paraId="2F668E8E" w14:textId="77777777" w:rsidR="006A45C1" w:rsidRDefault="006A45C1">
      <w:pPr>
        <w:spacing w:after="0"/>
        <w:rPr>
          <w:rFonts w:ascii="Times New Roman" w:eastAsia="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6A45C1" w14:paraId="2B233C88" w14:textId="77777777">
        <w:tc>
          <w:tcPr>
            <w:tcW w:w="9016" w:type="dxa"/>
            <w:tcBorders>
              <w:top w:val="single" w:sz="8" w:space="0" w:color="auto"/>
              <w:left w:val="single" w:sz="8" w:space="0" w:color="auto"/>
              <w:bottom w:val="single" w:sz="8" w:space="0" w:color="auto"/>
              <w:right w:val="single" w:sz="8" w:space="0" w:color="auto"/>
            </w:tcBorders>
            <w:vAlign w:val="center"/>
            <w:hideMark/>
          </w:tcPr>
          <w:p w14:paraId="0C77AC6A" w14:textId="77777777" w:rsidR="006A45C1" w:rsidRDefault="006A45C1">
            <w:pPr>
              <w:spacing w:line="240" w:lineRule="auto"/>
              <w:rPr>
                <w:rFonts w:ascii="Aptos" w:hAnsi="Aptos"/>
              </w:rPr>
            </w:pPr>
            <w:r>
              <w:rPr>
                <w:b/>
                <w:bCs/>
              </w:rPr>
              <w:t>Seasonal and Celebration Events</w:t>
            </w:r>
            <w:r>
              <w:t xml:space="preserve"> </w:t>
            </w:r>
          </w:p>
          <w:p w14:paraId="661E1547" w14:textId="77777777" w:rsidR="006A45C1" w:rsidRDefault="006A45C1">
            <w:pPr>
              <w:spacing w:line="240" w:lineRule="auto"/>
            </w:pPr>
            <w:r>
              <w:rPr>
                <w:sz w:val="20"/>
                <w:szCs w:val="20"/>
              </w:rPr>
              <w:t>We host a variety of seasonal and celebration events, such as Christmas parties, visits from Santa, Christmas gifts and nativity performances, Halloween discos and party treats, Easter activities and treats, and graduation celebrations with keepsake gifts. Our nursery embraces celebrations from all cultures and offers stay &amp; play sessions for families, as well as additional learning opportunities like science week.</w:t>
            </w:r>
            <w:r>
              <w:t xml:space="preserve"> </w:t>
            </w:r>
          </w:p>
        </w:tc>
      </w:tr>
    </w:tbl>
    <w:p w14:paraId="01D5EAED" w14:textId="77777777" w:rsidR="006A45C1" w:rsidRDefault="006A45C1">
      <w:pPr>
        <w:spacing w:after="0"/>
        <w:rPr>
          <w:rFonts w:ascii="Times New Roman" w:eastAsia="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6A45C1" w14:paraId="2343422E" w14:textId="77777777">
        <w:tc>
          <w:tcPr>
            <w:tcW w:w="9016" w:type="dxa"/>
            <w:tcBorders>
              <w:top w:val="single" w:sz="8" w:space="0" w:color="auto"/>
              <w:left w:val="single" w:sz="8" w:space="0" w:color="auto"/>
              <w:bottom w:val="single" w:sz="8" w:space="0" w:color="auto"/>
              <w:right w:val="single" w:sz="8" w:space="0" w:color="auto"/>
            </w:tcBorders>
            <w:vAlign w:val="center"/>
            <w:hideMark/>
          </w:tcPr>
          <w:p w14:paraId="06A23E73" w14:textId="77777777" w:rsidR="006A45C1" w:rsidRDefault="006A45C1">
            <w:pPr>
              <w:spacing w:line="240" w:lineRule="auto"/>
              <w:rPr>
                <w:rFonts w:ascii="Aptos" w:hAnsi="Aptos"/>
              </w:rPr>
            </w:pPr>
            <w:r>
              <w:rPr>
                <w:b/>
                <w:bCs/>
              </w:rPr>
              <w:t>Specialist Staff Training – Enhanced Quality Beyond the EYFS</w:t>
            </w:r>
            <w:r>
              <w:t xml:space="preserve"> </w:t>
            </w:r>
          </w:p>
          <w:p w14:paraId="194265AC" w14:textId="77777777" w:rsidR="006A45C1" w:rsidRDefault="006A45C1">
            <w:pPr>
              <w:spacing w:line="240" w:lineRule="auto"/>
            </w:pPr>
            <w:r>
              <w:rPr>
                <w:sz w:val="20"/>
                <w:szCs w:val="20"/>
              </w:rPr>
              <w:t>Our staff undertake specialist training to further enhance the quality of care we provide. This includes SEND (special educational needs and disabilities) training, attendance at cluster meetings outside working hours, speech and language development courses, online safety, behaviour management, professional curiosity, environmental awareness, understanding adverse childhood experiences, and supporting children with English as an additional language. We also offer one-to-one and small group interventions, with staff committing to additional evening and weekend training.</w:t>
            </w:r>
            <w:r>
              <w:t xml:space="preserve"> </w:t>
            </w:r>
          </w:p>
        </w:tc>
      </w:tr>
    </w:tbl>
    <w:p w14:paraId="664EACF9" w14:textId="77777777" w:rsidR="006A45C1" w:rsidRDefault="006A45C1">
      <w:pPr>
        <w:spacing w:after="0"/>
        <w:rPr>
          <w:rFonts w:ascii="Times New Roman" w:eastAsia="Times New Roman" w:hAnsi="Times New Roman"/>
        </w:rPr>
      </w:pPr>
    </w:p>
    <w:p w14:paraId="77FC99B7" w14:textId="77777777" w:rsidR="00236FE7" w:rsidRDefault="00236FE7">
      <w:pPr>
        <w:spacing w:after="0"/>
        <w:rPr>
          <w:rFonts w:ascii="Times New Roman" w:eastAsia="Times New Roman" w:hAnsi="Times New Roman"/>
        </w:rPr>
      </w:pPr>
    </w:p>
    <w:p w14:paraId="4E56144B" w14:textId="77777777" w:rsidR="00236FE7" w:rsidRDefault="00236FE7">
      <w:pPr>
        <w:spacing w:after="0"/>
        <w:rPr>
          <w:rFonts w:ascii="Times New Roman" w:eastAsia="Times New Roman" w:hAnsi="Times New Roman"/>
        </w:rPr>
      </w:pPr>
    </w:p>
    <w:p w14:paraId="7ED0E0F7" w14:textId="77777777" w:rsidR="00236FE7" w:rsidRDefault="00236FE7">
      <w:pPr>
        <w:spacing w:after="0"/>
        <w:rPr>
          <w:rFonts w:ascii="Times New Roman" w:eastAsia="Times New Roman" w:hAnsi="Times New Roman"/>
        </w:rPr>
      </w:pPr>
    </w:p>
    <w:p w14:paraId="4F560332" w14:textId="77777777" w:rsidR="00236FE7" w:rsidRDefault="00236FE7">
      <w:pPr>
        <w:spacing w:after="0"/>
        <w:rPr>
          <w:rFonts w:ascii="Times New Roman" w:eastAsia="Times New Roman" w:hAnsi="Times New Roman"/>
        </w:rPr>
      </w:pPr>
    </w:p>
    <w:p w14:paraId="7E82680F" w14:textId="77777777" w:rsidR="00236FE7" w:rsidRDefault="00236FE7">
      <w:pPr>
        <w:spacing w:after="0"/>
        <w:rPr>
          <w:rFonts w:ascii="Times New Roman" w:eastAsia="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6A45C1" w14:paraId="508C273E" w14:textId="77777777">
        <w:tc>
          <w:tcPr>
            <w:tcW w:w="9016" w:type="dxa"/>
            <w:tcBorders>
              <w:top w:val="single" w:sz="8" w:space="0" w:color="auto"/>
              <w:left w:val="single" w:sz="8" w:space="0" w:color="auto"/>
              <w:bottom w:val="single" w:sz="8" w:space="0" w:color="auto"/>
              <w:right w:val="single" w:sz="8" w:space="0" w:color="auto"/>
            </w:tcBorders>
            <w:vAlign w:val="center"/>
            <w:hideMark/>
          </w:tcPr>
          <w:p w14:paraId="734EAEDF" w14:textId="77777777" w:rsidR="006A45C1" w:rsidRDefault="006A45C1">
            <w:pPr>
              <w:spacing w:line="240" w:lineRule="auto"/>
              <w:rPr>
                <w:rFonts w:ascii="Aptos" w:hAnsi="Aptos"/>
              </w:rPr>
            </w:pPr>
            <w:r>
              <w:rPr>
                <w:b/>
                <w:bCs/>
              </w:rPr>
              <w:t>Additional Administration</w:t>
            </w:r>
            <w:r>
              <w:t xml:space="preserve"> </w:t>
            </w:r>
          </w:p>
          <w:p w14:paraId="2C97A470" w14:textId="77777777" w:rsidR="006A45C1" w:rsidRDefault="006A45C1">
            <w:pPr>
              <w:spacing w:line="240" w:lineRule="auto"/>
            </w:pPr>
            <w:r>
              <w:rPr>
                <w:sz w:val="20"/>
                <w:szCs w:val="20"/>
              </w:rPr>
              <w:t>We dedicate extra time to shopping for resources and preparing activities. Staff also manage parent communication apps, conduct enhanced observations and assessments beyond the EYFS, and provide parent sharing opportunities such as newsletters, parents' evenings, reports, and ad hoc meetings and support calls. Other administrative responsibilities include ICO registration fees and maintaining a music licence.</w:t>
            </w:r>
            <w:r>
              <w:t xml:space="preserve"> </w:t>
            </w:r>
          </w:p>
        </w:tc>
      </w:tr>
    </w:tbl>
    <w:p w14:paraId="2BCA4519" w14:textId="77777777" w:rsidR="006A45C1" w:rsidRDefault="006A45C1">
      <w:pPr>
        <w:spacing w:after="0"/>
        <w:rPr>
          <w:rFonts w:ascii="Times New Roman" w:eastAsia="Times New Roman" w:hAnsi="Times New Roman"/>
        </w:rPr>
      </w:pPr>
    </w:p>
    <w:p w14:paraId="09C9A62E" w14:textId="77777777" w:rsidR="006A45C1" w:rsidRPr="00236FE7" w:rsidRDefault="006A45C1">
      <w:pPr>
        <w:rPr>
          <w:rFonts w:ascii="Aptos" w:hAnsi="Aptos"/>
          <w:b/>
          <w:bCs/>
          <w:sz w:val="40"/>
          <w:szCs w:val="40"/>
        </w:rPr>
      </w:pPr>
      <w:r w:rsidRPr="00236FE7">
        <w:rPr>
          <w:b/>
          <w:bCs/>
          <w:sz w:val="28"/>
          <w:szCs w:val="28"/>
        </w:rPr>
        <w:t>For further information, please speak to the nursery manager or deputy. They will be happy to answer any questions you may have regarding voluntary contributions.</w:t>
      </w:r>
    </w:p>
    <w:p w14:paraId="17F8DAE0" w14:textId="636F6348" w:rsidR="006A45C1" w:rsidRPr="00236FE7" w:rsidRDefault="006A45C1">
      <w:pPr>
        <w:rPr>
          <w:b/>
          <w:bCs/>
          <w:sz w:val="40"/>
          <w:szCs w:val="40"/>
        </w:rPr>
      </w:pPr>
      <w:r w:rsidRPr="00236FE7">
        <w:rPr>
          <w:b/>
          <w:bCs/>
          <w:sz w:val="28"/>
          <w:szCs w:val="28"/>
        </w:rPr>
        <w:t>Your generosity truly makes a difference—</w:t>
      </w:r>
      <w:r w:rsidR="00236FE7">
        <w:rPr>
          <w:b/>
          <w:bCs/>
          <w:sz w:val="28"/>
          <w:szCs w:val="28"/>
        </w:rPr>
        <w:t>T</w:t>
      </w:r>
      <w:r w:rsidRPr="00236FE7">
        <w:rPr>
          <w:b/>
          <w:bCs/>
          <w:sz w:val="28"/>
          <w:szCs w:val="28"/>
        </w:rPr>
        <w:t>hank you for supporting our nursery!</w:t>
      </w:r>
    </w:p>
    <w:sectPr w:rsidR="006A45C1" w:rsidRPr="00236FE7" w:rsidSect="00B82F39">
      <w:headerReference w:type="default" r:id="rId7"/>
      <w:pgSz w:w="11906" w:h="16838"/>
      <w:pgMar w:top="1440" w:right="1440" w:bottom="1440" w:left="1440" w:header="708" w:footer="708" w:gutter="0"/>
      <w:pgBorders w:offsetFrom="page">
        <w:top w:val="thinThickThinSmallGap" w:sz="24" w:space="24" w:color="501549" w:themeColor="accent5" w:themeShade="80"/>
        <w:left w:val="thinThickThinSmallGap" w:sz="24" w:space="24" w:color="501549" w:themeColor="accent5" w:themeShade="80"/>
        <w:bottom w:val="thinThickThinSmallGap" w:sz="24" w:space="24" w:color="501549" w:themeColor="accent5" w:themeShade="80"/>
        <w:right w:val="thinThickThinSmallGap" w:sz="24" w:space="24" w:color="501549"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342E" w14:textId="77777777" w:rsidR="006962E7" w:rsidRDefault="006962E7" w:rsidP="002B5638">
      <w:pPr>
        <w:spacing w:after="0" w:line="240" w:lineRule="auto"/>
      </w:pPr>
      <w:r>
        <w:separator/>
      </w:r>
    </w:p>
  </w:endnote>
  <w:endnote w:type="continuationSeparator" w:id="0">
    <w:p w14:paraId="6C2F1FB8" w14:textId="77777777" w:rsidR="006962E7" w:rsidRDefault="006962E7" w:rsidP="002B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7E90" w14:textId="77777777" w:rsidR="006962E7" w:rsidRDefault="006962E7" w:rsidP="002B5638">
      <w:pPr>
        <w:spacing w:after="0" w:line="240" w:lineRule="auto"/>
      </w:pPr>
      <w:r>
        <w:separator/>
      </w:r>
    </w:p>
  </w:footnote>
  <w:footnote w:type="continuationSeparator" w:id="0">
    <w:p w14:paraId="22A677F2" w14:textId="77777777" w:rsidR="006962E7" w:rsidRDefault="006962E7" w:rsidP="002B5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12B2" w14:textId="55D01E6C" w:rsidR="002B5638" w:rsidRDefault="00E87BEB">
    <w:pPr>
      <w:pStyle w:val="Header"/>
    </w:pPr>
    <w:r>
      <w:rPr>
        <w:noProof/>
      </w:rPr>
      <w:drawing>
        <wp:anchor distT="0" distB="0" distL="114300" distR="114300" simplePos="0" relativeHeight="251660288" behindDoc="1" locked="0" layoutInCell="1" allowOverlap="1" wp14:anchorId="64C37725" wp14:editId="533CC5B2">
          <wp:simplePos x="0" y="0"/>
          <wp:positionH relativeFrom="page">
            <wp:posOffset>-1021080</wp:posOffset>
          </wp:positionH>
          <wp:positionV relativeFrom="paragraph">
            <wp:posOffset>-975360</wp:posOffset>
          </wp:positionV>
          <wp:extent cx="3305175" cy="2228850"/>
          <wp:effectExtent l="228600" t="361950" r="219075" b="361950"/>
          <wp:wrapNone/>
          <wp:docPr id="848734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009577">
                    <a:off x="0" y="0"/>
                    <a:ext cx="3305175" cy="2228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FD2B554" wp14:editId="7D110FE5">
          <wp:simplePos x="0" y="0"/>
          <wp:positionH relativeFrom="column">
            <wp:posOffset>4168141</wp:posOffset>
          </wp:positionH>
          <wp:positionV relativeFrom="paragraph">
            <wp:posOffset>-655321</wp:posOffset>
          </wp:positionV>
          <wp:extent cx="3305175" cy="2228850"/>
          <wp:effectExtent l="266700" t="838200" r="276225" b="838200"/>
          <wp:wrapNone/>
          <wp:docPr id="20112770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543231">
                    <a:off x="0" y="0"/>
                    <a:ext cx="3305175" cy="2228850"/>
                  </a:xfrm>
                  <a:prstGeom prst="rect">
                    <a:avLst/>
                  </a:prstGeom>
                  <a:noFill/>
                </pic:spPr>
              </pic:pic>
            </a:graphicData>
          </a:graphic>
          <wp14:sizeRelH relativeFrom="page">
            <wp14:pctWidth>0</wp14:pctWidth>
          </wp14:sizeRelH>
          <wp14:sizeRelV relativeFrom="page">
            <wp14:pctHeight>0</wp14:pctHeight>
          </wp14:sizeRelV>
        </wp:anchor>
      </w:drawing>
    </w:r>
    <w:r w:rsidR="002B5638">
      <w:rPr>
        <w:noProof/>
      </w:rPr>
      <w:drawing>
        <wp:anchor distT="0" distB="0" distL="114300" distR="114300" simplePos="0" relativeHeight="251658240" behindDoc="1" locked="0" layoutInCell="1" allowOverlap="1" wp14:anchorId="27C59016" wp14:editId="38EFB9DD">
          <wp:simplePos x="0" y="0"/>
          <wp:positionH relativeFrom="margin">
            <wp:align>center</wp:align>
          </wp:positionH>
          <wp:positionV relativeFrom="paragraph">
            <wp:posOffset>-106680</wp:posOffset>
          </wp:positionV>
          <wp:extent cx="2944495" cy="835025"/>
          <wp:effectExtent l="0" t="0" r="8255" b="3175"/>
          <wp:wrapNone/>
          <wp:docPr id="212673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4495" cy="835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D00C9"/>
    <w:multiLevelType w:val="hybridMultilevel"/>
    <w:tmpl w:val="F2A6656C"/>
    <w:lvl w:ilvl="0" w:tplc="FFACF45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5386E"/>
    <w:multiLevelType w:val="multilevel"/>
    <w:tmpl w:val="3612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4F37E7"/>
    <w:multiLevelType w:val="multilevel"/>
    <w:tmpl w:val="8D64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A3BE9"/>
    <w:multiLevelType w:val="multilevel"/>
    <w:tmpl w:val="41C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847FB"/>
    <w:multiLevelType w:val="multilevel"/>
    <w:tmpl w:val="67E2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C0192"/>
    <w:multiLevelType w:val="multilevel"/>
    <w:tmpl w:val="82B2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021C67"/>
    <w:multiLevelType w:val="multilevel"/>
    <w:tmpl w:val="94DC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443806">
    <w:abstractNumId w:val="5"/>
  </w:num>
  <w:num w:numId="2" w16cid:durableId="19942283">
    <w:abstractNumId w:val="6"/>
  </w:num>
  <w:num w:numId="3" w16cid:durableId="949969569">
    <w:abstractNumId w:val="4"/>
  </w:num>
  <w:num w:numId="4" w16cid:durableId="1715806304">
    <w:abstractNumId w:val="1"/>
  </w:num>
  <w:num w:numId="5" w16cid:durableId="6292381">
    <w:abstractNumId w:val="2"/>
  </w:num>
  <w:num w:numId="6" w16cid:durableId="536966569">
    <w:abstractNumId w:val="3"/>
  </w:num>
  <w:num w:numId="7" w16cid:durableId="140294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D5"/>
    <w:rsid w:val="000653BE"/>
    <w:rsid w:val="0014445E"/>
    <w:rsid w:val="00151A98"/>
    <w:rsid w:val="001C21D5"/>
    <w:rsid w:val="001D152E"/>
    <w:rsid w:val="00236FE7"/>
    <w:rsid w:val="002B0452"/>
    <w:rsid w:val="002B5638"/>
    <w:rsid w:val="003264CB"/>
    <w:rsid w:val="003854E7"/>
    <w:rsid w:val="003863EF"/>
    <w:rsid w:val="00417B40"/>
    <w:rsid w:val="006637C2"/>
    <w:rsid w:val="006962E7"/>
    <w:rsid w:val="006A45C1"/>
    <w:rsid w:val="006A4A51"/>
    <w:rsid w:val="006B48DA"/>
    <w:rsid w:val="0072761E"/>
    <w:rsid w:val="00745886"/>
    <w:rsid w:val="00757585"/>
    <w:rsid w:val="007F362B"/>
    <w:rsid w:val="0088097A"/>
    <w:rsid w:val="008C518B"/>
    <w:rsid w:val="00A520DD"/>
    <w:rsid w:val="00A61DC3"/>
    <w:rsid w:val="00AD5F58"/>
    <w:rsid w:val="00B5790F"/>
    <w:rsid w:val="00B82F39"/>
    <w:rsid w:val="00BB7752"/>
    <w:rsid w:val="00CB3347"/>
    <w:rsid w:val="00D14687"/>
    <w:rsid w:val="00D81699"/>
    <w:rsid w:val="00DA74F3"/>
    <w:rsid w:val="00DB1ECE"/>
    <w:rsid w:val="00DB7287"/>
    <w:rsid w:val="00DE2C72"/>
    <w:rsid w:val="00E245DC"/>
    <w:rsid w:val="00E45DA5"/>
    <w:rsid w:val="00E535BF"/>
    <w:rsid w:val="00E60016"/>
    <w:rsid w:val="00E83C88"/>
    <w:rsid w:val="00E87BEB"/>
    <w:rsid w:val="00F243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841B"/>
  <w15:chartTrackingRefBased/>
  <w15:docId w15:val="{98E91FE0-B911-482B-9358-737170EE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2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1D5"/>
    <w:rPr>
      <w:rFonts w:eastAsiaTheme="majorEastAsia" w:cstheme="majorBidi"/>
      <w:color w:val="272727" w:themeColor="text1" w:themeTint="D8"/>
    </w:rPr>
  </w:style>
  <w:style w:type="paragraph" w:styleId="Title">
    <w:name w:val="Title"/>
    <w:basedOn w:val="Normal"/>
    <w:next w:val="Normal"/>
    <w:link w:val="TitleChar"/>
    <w:uiPriority w:val="10"/>
    <w:qFormat/>
    <w:rsid w:val="001C2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1D5"/>
    <w:pPr>
      <w:spacing w:before="160"/>
      <w:jc w:val="center"/>
    </w:pPr>
    <w:rPr>
      <w:i/>
      <w:iCs/>
      <w:color w:val="404040" w:themeColor="text1" w:themeTint="BF"/>
    </w:rPr>
  </w:style>
  <w:style w:type="character" w:customStyle="1" w:styleId="QuoteChar">
    <w:name w:val="Quote Char"/>
    <w:basedOn w:val="DefaultParagraphFont"/>
    <w:link w:val="Quote"/>
    <w:uiPriority w:val="29"/>
    <w:rsid w:val="001C21D5"/>
    <w:rPr>
      <w:i/>
      <w:iCs/>
      <w:color w:val="404040" w:themeColor="text1" w:themeTint="BF"/>
    </w:rPr>
  </w:style>
  <w:style w:type="paragraph" w:styleId="ListParagraph">
    <w:name w:val="List Paragraph"/>
    <w:basedOn w:val="Normal"/>
    <w:uiPriority w:val="34"/>
    <w:qFormat/>
    <w:rsid w:val="001C21D5"/>
    <w:pPr>
      <w:ind w:left="720"/>
      <w:contextualSpacing/>
    </w:pPr>
  </w:style>
  <w:style w:type="character" w:styleId="IntenseEmphasis">
    <w:name w:val="Intense Emphasis"/>
    <w:basedOn w:val="DefaultParagraphFont"/>
    <w:uiPriority w:val="21"/>
    <w:qFormat/>
    <w:rsid w:val="001C21D5"/>
    <w:rPr>
      <w:i/>
      <w:iCs/>
      <w:color w:val="0F4761" w:themeColor="accent1" w:themeShade="BF"/>
    </w:rPr>
  </w:style>
  <w:style w:type="paragraph" w:styleId="IntenseQuote">
    <w:name w:val="Intense Quote"/>
    <w:basedOn w:val="Normal"/>
    <w:next w:val="Normal"/>
    <w:link w:val="IntenseQuoteChar"/>
    <w:uiPriority w:val="30"/>
    <w:qFormat/>
    <w:rsid w:val="001C2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1D5"/>
    <w:rPr>
      <w:i/>
      <w:iCs/>
      <w:color w:val="0F4761" w:themeColor="accent1" w:themeShade="BF"/>
    </w:rPr>
  </w:style>
  <w:style w:type="character" w:styleId="IntenseReference">
    <w:name w:val="Intense Reference"/>
    <w:basedOn w:val="DefaultParagraphFont"/>
    <w:uiPriority w:val="32"/>
    <w:qFormat/>
    <w:rsid w:val="001C21D5"/>
    <w:rPr>
      <w:b/>
      <w:bCs/>
      <w:smallCaps/>
      <w:color w:val="0F4761" w:themeColor="accent1" w:themeShade="BF"/>
      <w:spacing w:val="5"/>
    </w:rPr>
  </w:style>
  <w:style w:type="table" w:styleId="TableGrid">
    <w:name w:val="Table Grid"/>
    <w:basedOn w:val="TableNormal"/>
    <w:uiPriority w:val="39"/>
    <w:rsid w:val="00E53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5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638"/>
  </w:style>
  <w:style w:type="paragraph" w:styleId="Footer">
    <w:name w:val="footer"/>
    <w:basedOn w:val="Normal"/>
    <w:link w:val="FooterChar"/>
    <w:uiPriority w:val="99"/>
    <w:unhideWhenUsed/>
    <w:rsid w:val="002B5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4566</Characters>
  <Application>Microsoft Office Word</Application>
  <DocSecurity>0</DocSecurity>
  <Lines>326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2</cp:revision>
  <dcterms:created xsi:type="dcterms:W3CDTF">2026-02-18T13:28:00Z</dcterms:created>
  <dcterms:modified xsi:type="dcterms:W3CDTF">2026-02-18T13:28:00Z</dcterms:modified>
</cp:coreProperties>
</file>